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CAA2B" w14:textId="5299EE4A" w:rsidR="001C230F" w:rsidRPr="00A07821" w:rsidRDefault="001C230F" w:rsidP="001C230F">
      <w:pPr>
        <w:jc w:val="center"/>
        <w:rPr>
          <w:rFonts w:ascii="Bookman Old Style" w:hAnsi="Bookman Old Style" w:cs="Tahoma"/>
          <w:b/>
          <w:sz w:val="52"/>
          <w:szCs w:val="52"/>
        </w:rPr>
      </w:pPr>
      <w:r w:rsidRPr="00A07821">
        <w:rPr>
          <w:rFonts w:ascii="Bookman Old Style" w:hAnsi="Bookman Old Style" w:cs="Tahoma"/>
          <w:b/>
          <w:sz w:val="52"/>
          <w:szCs w:val="52"/>
        </w:rPr>
        <w:t>THE</w:t>
      </w:r>
      <w:r w:rsidR="00322A68" w:rsidRPr="00A07821">
        <w:rPr>
          <w:rFonts w:ascii="Bookman Old Style" w:hAnsi="Bookman Old Style" w:cs="Tahoma"/>
          <w:b/>
          <w:sz w:val="52"/>
          <w:szCs w:val="52"/>
        </w:rPr>
        <w:t xml:space="preserve"> </w:t>
      </w:r>
      <w:r w:rsidRPr="00A07821">
        <w:rPr>
          <w:rFonts w:ascii="Bookman Old Style" w:hAnsi="Bookman Old Style" w:cs="Tahoma"/>
          <w:b/>
          <w:sz w:val="52"/>
          <w:szCs w:val="52"/>
        </w:rPr>
        <w:t>BRIMINGTON</w:t>
      </w:r>
      <w:r w:rsidR="00322A68" w:rsidRPr="00A07821">
        <w:rPr>
          <w:rFonts w:ascii="Bookman Old Style" w:hAnsi="Bookman Old Style" w:cs="Tahoma"/>
          <w:b/>
          <w:sz w:val="52"/>
          <w:szCs w:val="52"/>
        </w:rPr>
        <w:t xml:space="preserve"> </w:t>
      </w:r>
      <w:r w:rsidRPr="00A07821">
        <w:rPr>
          <w:rFonts w:ascii="Bookman Old Style" w:hAnsi="Bookman Old Style" w:cs="Tahoma"/>
          <w:b/>
          <w:sz w:val="52"/>
          <w:szCs w:val="52"/>
        </w:rPr>
        <w:t>SURGERY</w:t>
      </w:r>
    </w:p>
    <w:p w14:paraId="3EF8F51C" w14:textId="77777777" w:rsidR="001C230F" w:rsidRPr="00A07821" w:rsidRDefault="001C230F" w:rsidP="001C230F">
      <w:pPr>
        <w:jc w:val="center"/>
        <w:rPr>
          <w:rFonts w:ascii="Bookman Old Style" w:hAnsi="Bookman Old Style" w:cs="Tahoma"/>
          <w:b/>
        </w:rPr>
      </w:pPr>
    </w:p>
    <w:p w14:paraId="6FE00391" w14:textId="6944F2D8" w:rsidR="001C230F" w:rsidRPr="00A07821" w:rsidRDefault="001C230F" w:rsidP="001C230F">
      <w:pPr>
        <w:rPr>
          <w:rFonts w:ascii="Bookman Old Style" w:hAnsi="Bookman Old Style"/>
        </w:rPr>
      </w:pPr>
      <w:r w:rsidRPr="00A07821">
        <w:rPr>
          <w:rFonts w:ascii="Bookman Old Style" w:hAnsi="Bookman Old Style"/>
          <w:noProof/>
        </w:rPr>
        <mc:AlternateContent>
          <mc:Choice Requires="wpc">
            <w:drawing>
              <wp:inline distT="0" distB="0" distL="0" distR="0" wp14:anchorId="32D8094B" wp14:editId="2DEC4A73">
                <wp:extent cx="6315075" cy="914401"/>
                <wp:effectExtent l="19050" t="19050" r="47625" b="38100"/>
                <wp:docPr id="2" name="Canvas 2"/>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99CCFF"/>
                        </a:solidFill>
                      </wpc:bg>
                      <wpc:whole>
                        <a:ln w="57150" cap="flat" cmpd="thinThick" algn="ctr">
                          <a:solidFill>
                            <a:srgbClr val="000080"/>
                          </a:solidFill>
                          <a:prstDash val="solid"/>
                          <a:miter lim="800000"/>
                          <a:headEnd type="none" w="med" len="med"/>
                          <a:tailEnd type="none" w="med" len="med"/>
                        </a:ln>
                      </wpc:whole>
                      <wps:wsp>
                        <wps:cNvPr id="1" name="Text Box 4"/>
                        <wps:cNvSpPr txBox="1">
                          <a:spLocks noChangeArrowheads="1"/>
                        </wps:cNvSpPr>
                        <wps:spPr bwMode="auto">
                          <a:xfrm>
                            <a:off x="104775" y="95250"/>
                            <a:ext cx="5922625" cy="676275"/>
                          </a:xfrm>
                          <a:prstGeom prst="rect">
                            <a:avLst/>
                          </a:prstGeom>
                          <a:solidFill>
                            <a:srgbClr val="FFFFFF"/>
                          </a:solidFill>
                          <a:ln w="9525">
                            <a:solidFill>
                              <a:srgbClr val="000000"/>
                            </a:solidFill>
                            <a:miter lim="800000"/>
                            <a:headEnd/>
                            <a:tailEnd/>
                          </a:ln>
                        </wps:spPr>
                        <wps:txbx>
                          <w:txbxContent>
                            <w:p w14:paraId="246F7B06" w14:textId="77777777" w:rsidR="001C230F" w:rsidRPr="00A07821" w:rsidRDefault="001C230F" w:rsidP="001C230F">
                              <w:pPr>
                                <w:jc w:val="center"/>
                                <w:rPr>
                                  <w:b/>
                                  <w:sz w:val="20"/>
                                  <w:szCs w:val="20"/>
                                </w:rPr>
                              </w:pPr>
                            </w:p>
                            <w:p w14:paraId="526B93CF" w14:textId="372EA3DC" w:rsidR="00A07821" w:rsidRPr="00A07821" w:rsidRDefault="00A07821" w:rsidP="00A07821">
                              <w:pPr>
                                <w:pStyle w:val="Heading1"/>
                                <w:rPr>
                                  <w:rFonts w:ascii="Bookman Old Style" w:hAnsi="Bookman Old Style"/>
                                  <w:sz w:val="48"/>
                                  <w:szCs w:val="48"/>
                                </w:rPr>
                              </w:pPr>
                              <w:r w:rsidRPr="00A07821">
                                <w:rPr>
                                  <w:rFonts w:ascii="Bookman Old Style" w:hAnsi="Bookman Old Style"/>
                                  <w:sz w:val="48"/>
                                  <w:szCs w:val="48"/>
                                </w:rPr>
                                <w:t xml:space="preserve">Breast Feeding Policy </w:t>
                              </w:r>
                            </w:p>
                            <w:p w14:paraId="63CF4FFF" w14:textId="77777777" w:rsidR="001C230F" w:rsidRPr="00A07821" w:rsidRDefault="001C230F" w:rsidP="001C230F">
                              <w:pPr>
                                <w:rPr>
                                  <w:sz w:val="20"/>
                                  <w:szCs w:val="20"/>
                                </w:rPr>
                              </w:pPr>
                            </w:p>
                          </w:txbxContent>
                        </wps:txbx>
                        <wps:bodyPr rot="0" vert="horz" wrap="square" lIns="91440" tIns="45720" rIns="91440" bIns="45720" anchor="t" anchorCtr="0" upright="1">
                          <a:noAutofit/>
                        </wps:bodyPr>
                      </wps:wsp>
                    </wpc:wpc>
                  </a:graphicData>
                </a:graphic>
              </wp:inline>
            </w:drawing>
          </mc:Choice>
          <mc:Fallback>
            <w:pict>
              <v:group w14:anchorId="32D8094B" id="Canvas 2" o:spid="_x0000_s1026" editas="canvas" style="width:497.25pt;height:1in;mso-position-horizontal-relative:char;mso-position-vertical-relative:line" coordsize="6315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150;height:9144;visibility:visible;mso-wrap-style:square" filled="t" fillcolor="#9cf" stroked="t" strokecolor="navy" strokeweight="4.5pt">
                  <v:fill o:detectmouseclick="t"/>
                  <v:stroke linestyle="thinThick"/>
                  <v:path o:connecttype="none"/>
                </v:shape>
                <v:shapetype id="_x0000_t202" coordsize="21600,21600" o:spt="202" path="m,l,21600r21600,l21600,xe">
                  <v:stroke joinstyle="miter"/>
                  <v:path gradientshapeok="t" o:connecttype="rect"/>
                </v:shapetype>
                <v:shape id="Text Box 4" o:spid="_x0000_s1028" type="#_x0000_t202" style="position:absolute;left:1047;top:952;width:59227;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246F7B06" w14:textId="77777777" w:rsidR="001C230F" w:rsidRPr="00A07821" w:rsidRDefault="001C230F" w:rsidP="001C230F">
                        <w:pPr>
                          <w:jc w:val="center"/>
                          <w:rPr>
                            <w:b/>
                            <w:sz w:val="20"/>
                            <w:szCs w:val="20"/>
                          </w:rPr>
                        </w:pPr>
                      </w:p>
                      <w:p w14:paraId="526B93CF" w14:textId="372EA3DC" w:rsidR="00A07821" w:rsidRPr="00A07821" w:rsidRDefault="00A07821" w:rsidP="00A07821">
                        <w:pPr>
                          <w:pStyle w:val="Heading1"/>
                          <w:rPr>
                            <w:rFonts w:ascii="Bookman Old Style" w:hAnsi="Bookman Old Style"/>
                            <w:sz w:val="48"/>
                            <w:szCs w:val="48"/>
                          </w:rPr>
                        </w:pPr>
                        <w:r w:rsidRPr="00A07821">
                          <w:rPr>
                            <w:rFonts w:ascii="Bookman Old Style" w:hAnsi="Bookman Old Style"/>
                            <w:sz w:val="48"/>
                            <w:szCs w:val="48"/>
                          </w:rPr>
                          <w:t xml:space="preserve">Breast Feeding Policy </w:t>
                        </w:r>
                      </w:p>
                      <w:p w14:paraId="63CF4FFF" w14:textId="77777777" w:rsidR="001C230F" w:rsidRPr="00A07821" w:rsidRDefault="001C230F" w:rsidP="001C230F">
                        <w:pPr>
                          <w:rPr>
                            <w:sz w:val="20"/>
                            <w:szCs w:val="20"/>
                          </w:rPr>
                        </w:pPr>
                      </w:p>
                    </w:txbxContent>
                  </v:textbox>
                </v:shape>
                <w10:anchorlock/>
              </v:group>
            </w:pict>
          </mc:Fallback>
        </mc:AlternateContent>
      </w:r>
    </w:p>
    <w:p w14:paraId="13EEDD02" w14:textId="77777777" w:rsidR="001C230F" w:rsidRPr="00A07821" w:rsidRDefault="001C230F" w:rsidP="001C230F">
      <w:pPr>
        <w:jc w:val="center"/>
        <w:rPr>
          <w:rFonts w:ascii="Bookman Old Style" w:hAnsi="Bookman Old Style"/>
          <w:b/>
        </w:rPr>
      </w:pPr>
    </w:p>
    <w:tbl>
      <w:tblPr>
        <w:tblW w:w="9016"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04"/>
        <w:gridCol w:w="1695"/>
        <w:gridCol w:w="2178"/>
        <w:gridCol w:w="2142"/>
        <w:gridCol w:w="1797"/>
      </w:tblGrid>
      <w:tr w:rsidR="00CC0EB9" w:rsidRPr="00A07821" w14:paraId="5472AC28" w14:textId="77777777" w:rsidTr="00CC0EB9">
        <w:trPr>
          <w:jc w:val="center"/>
        </w:trPr>
        <w:tc>
          <w:tcPr>
            <w:tcW w:w="1219"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8A72980" w14:textId="77777777" w:rsidR="00CC0EB9" w:rsidRPr="00A07821" w:rsidRDefault="00CC0EB9">
            <w:pPr>
              <w:spacing w:line="276" w:lineRule="auto"/>
              <w:jc w:val="center"/>
              <w:rPr>
                <w:rFonts w:ascii="Bookman Old Style" w:eastAsia="Arial" w:hAnsi="Bookman Old Style"/>
                <w:b/>
                <w:spacing w:val="-2"/>
                <w:lang w:eastAsia="en-US"/>
              </w:rPr>
            </w:pPr>
            <w:r w:rsidRPr="00A07821">
              <w:rPr>
                <w:rFonts w:ascii="Bookman Old Style" w:hAnsi="Bookman Old Style"/>
                <w:b/>
                <w:lang w:eastAsia="en-US"/>
              </w:rPr>
              <w:t>Version</w:t>
            </w:r>
          </w:p>
        </w:tc>
        <w:tc>
          <w:tcPr>
            <w:tcW w:w="1213"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FF0125A" w14:textId="77777777" w:rsidR="00CC0EB9" w:rsidRPr="00A07821" w:rsidRDefault="00CC0EB9">
            <w:pPr>
              <w:spacing w:line="276" w:lineRule="auto"/>
              <w:jc w:val="center"/>
              <w:rPr>
                <w:rFonts w:ascii="Bookman Old Style" w:eastAsia="Arial" w:hAnsi="Bookman Old Style"/>
                <w:b/>
                <w:spacing w:val="-2"/>
                <w:lang w:eastAsia="en-US"/>
              </w:rPr>
            </w:pPr>
            <w:r w:rsidRPr="00A07821">
              <w:rPr>
                <w:rFonts w:ascii="Bookman Old Style" w:hAnsi="Bookman Old Style"/>
                <w:b/>
                <w:lang w:eastAsia="en-US"/>
              </w:rPr>
              <w:t>Date</w:t>
            </w:r>
          </w:p>
        </w:tc>
        <w:tc>
          <w:tcPr>
            <w:tcW w:w="242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7FCF463" w14:textId="77777777" w:rsidR="00CC0EB9" w:rsidRPr="00A07821" w:rsidRDefault="00CC0EB9">
            <w:pPr>
              <w:spacing w:line="276" w:lineRule="auto"/>
              <w:jc w:val="center"/>
              <w:rPr>
                <w:rFonts w:ascii="Bookman Old Style" w:eastAsia="Arial" w:hAnsi="Bookman Old Style"/>
                <w:b/>
                <w:spacing w:val="-2"/>
                <w:lang w:eastAsia="en-US"/>
              </w:rPr>
            </w:pPr>
            <w:r w:rsidRPr="00A07821">
              <w:rPr>
                <w:rFonts w:ascii="Bookman Old Style" w:hAnsi="Bookman Old Style"/>
                <w:b/>
                <w:lang w:eastAsia="en-US"/>
              </w:rPr>
              <w:t>Approved by</w:t>
            </w:r>
          </w:p>
        </w:tc>
        <w:tc>
          <w:tcPr>
            <w:tcW w:w="2327"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E38772B" w14:textId="77777777" w:rsidR="00CC0EB9" w:rsidRPr="00A07821" w:rsidRDefault="00CC0EB9">
            <w:pPr>
              <w:spacing w:line="276" w:lineRule="auto"/>
              <w:jc w:val="center"/>
              <w:rPr>
                <w:rFonts w:ascii="Bookman Old Style" w:hAnsi="Bookman Old Style"/>
                <w:b/>
                <w:lang w:eastAsia="en-US"/>
              </w:rPr>
            </w:pPr>
            <w:r w:rsidRPr="00A07821">
              <w:rPr>
                <w:rFonts w:ascii="Bookman Old Style" w:hAnsi="Bookman Old Style"/>
                <w:b/>
                <w:lang w:eastAsia="en-US"/>
              </w:rPr>
              <w:t>Comments</w:t>
            </w:r>
          </w:p>
        </w:tc>
        <w:tc>
          <w:tcPr>
            <w:tcW w:w="1829"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7409A78" w14:textId="77777777" w:rsidR="00CC0EB9" w:rsidRPr="00A07821" w:rsidRDefault="00CC0EB9">
            <w:pPr>
              <w:spacing w:line="276" w:lineRule="auto"/>
              <w:jc w:val="center"/>
              <w:rPr>
                <w:rFonts w:ascii="Bookman Old Style" w:hAnsi="Bookman Old Style"/>
                <w:b/>
                <w:lang w:eastAsia="en-US"/>
              </w:rPr>
            </w:pPr>
            <w:r w:rsidRPr="00A07821">
              <w:rPr>
                <w:rFonts w:ascii="Bookman Old Style" w:hAnsi="Bookman Old Style"/>
                <w:b/>
                <w:lang w:eastAsia="en-US"/>
              </w:rPr>
              <w:t>Review due</w:t>
            </w:r>
          </w:p>
        </w:tc>
      </w:tr>
      <w:tr w:rsidR="00CC0EB9" w:rsidRPr="00A07821" w14:paraId="3C3C79DD" w14:textId="77777777" w:rsidTr="00CC0EB9">
        <w:trPr>
          <w:jc w:val="center"/>
        </w:trPr>
        <w:tc>
          <w:tcPr>
            <w:tcW w:w="1219" w:type="dxa"/>
            <w:tcBorders>
              <w:top w:val="single" w:sz="4" w:space="0" w:color="333333"/>
              <w:left w:val="single" w:sz="4" w:space="0" w:color="333333"/>
              <w:bottom w:val="single" w:sz="4" w:space="0" w:color="333333"/>
              <w:right w:val="single" w:sz="4" w:space="0" w:color="333333"/>
            </w:tcBorders>
            <w:hideMark/>
          </w:tcPr>
          <w:p w14:paraId="4E436E12" w14:textId="743F4DEF" w:rsidR="00CC0EB9" w:rsidRPr="00A07821" w:rsidRDefault="00CC0EB9">
            <w:pPr>
              <w:spacing w:line="256" w:lineRule="auto"/>
              <w:rPr>
                <w:rFonts w:ascii="Bookman Old Style" w:eastAsia="Arial" w:hAnsi="Bookman Old Style"/>
                <w:b/>
                <w:spacing w:val="-2"/>
                <w:lang w:eastAsia="en-US"/>
              </w:rPr>
            </w:pPr>
          </w:p>
        </w:tc>
        <w:tc>
          <w:tcPr>
            <w:tcW w:w="1213" w:type="dxa"/>
            <w:tcBorders>
              <w:top w:val="single" w:sz="4" w:space="0" w:color="333333"/>
              <w:left w:val="single" w:sz="4" w:space="0" w:color="333333"/>
              <w:bottom w:val="single" w:sz="4" w:space="0" w:color="333333"/>
              <w:right w:val="single" w:sz="4" w:space="0" w:color="333333"/>
            </w:tcBorders>
          </w:tcPr>
          <w:p w14:paraId="0BE285D4" w14:textId="26F691DC" w:rsidR="00CC0EB9" w:rsidRPr="00A07821" w:rsidRDefault="00CC0EB9">
            <w:pPr>
              <w:spacing w:line="276" w:lineRule="auto"/>
              <w:rPr>
                <w:rFonts w:ascii="Bookman Old Style" w:eastAsia="Arial" w:hAnsi="Bookman Old Style"/>
                <w:spacing w:val="-2"/>
                <w:lang w:eastAsia="en-US"/>
              </w:rPr>
            </w:pPr>
          </w:p>
        </w:tc>
        <w:tc>
          <w:tcPr>
            <w:tcW w:w="2428" w:type="dxa"/>
            <w:tcBorders>
              <w:top w:val="single" w:sz="4" w:space="0" w:color="333333"/>
              <w:left w:val="single" w:sz="4" w:space="0" w:color="333333"/>
              <w:bottom w:val="single" w:sz="4" w:space="0" w:color="333333"/>
              <w:right w:val="single" w:sz="4" w:space="0" w:color="333333"/>
            </w:tcBorders>
          </w:tcPr>
          <w:p w14:paraId="0C34CEF7" w14:textId="46A79B1D" w:rsidR="00CC0EB9" w:rsidRPr="00A07821" w:rsidRDefault="00CC0EB9">
            <w:pPr>
              <w:spacing w:line="276" w:lineRule="auto"/>
              <w:rPr>
                <w:rFonts w:ascii="Bookman Old Style" w:eastAsia="Arial" w:hAnsi="Bookman Old Style"/>
                <w:spacing w:val="-2"/>
                <w:lang w:eastAsia="en-US"/>
              </w:rPr>
            </w:pPr>
          </w:p>
        </w:tc>
        <w:tc>
          <w:tcPr>
            <w:tcW w:w="2327" w:type="dxa"/>
            <w:tcBorders>
              <w:top w:val="single" w:sz="4" w:space="0" w:color="333333"/>
              <w:left w:val="single" w:sz="4" w:space="0" w:color="333333"/>
              <w:bottom w:val="single" w:sz="4" w:space="0" w:color="333333"/>
              <w:right w:val="single" w:sz="4" w:space="0" w:color="333333"/>
            </w:tcBorders>
          </w:tcPr>
          <w:p w14:paraId="60F48F01" w14:textId="2FF4AECC" w:rsidR="00CC0EB9" w:rsidRPr="00A07821" w:rsidRDefault="00A07821">
            <w:pPr>
              <w:spacing w:line="276" w:lineRule="auto"/>
              <w:rPr>
                <w:rFonts w:ascii="Bookman Old Style" w:eastAsia="Arial" w:hAnsi="Bookman Old Style"/>
                <w:spacing w:val="-2"/>
                <w:lang w:eastAsia="en-US"/>
              </w:rPr>
            </w:pPr>
            <w:r>
              <w:rPr>
                <w:rFonts w:ascii="Bookman Old Style" w:hAnsi="Bookman Old Style"/>
              </w:rPr>
              <w:t xml:space="preserve">From </w:t>
            </w:r>
            <w:r w:rsidRPr="00A07821">
              <w:rPr>
                <w:rFonts w:ascii="Bookman Old Style" w:hAnsi="Bookman Old Style"/>
              </w:rPr>
              <w:t>IQCQC</w:t>
            </w:r>
            <w:r>
              <w:rPr>
                <w:rFonts w:ascii="Bookman Old Style" w:hAnsi="Bookman Old Style"/>
              </w:rPr>
              <w:t xml:space="preserve"> v1.2</w:t>
            </w:r>
          </w:p>
        </w:tc>
        <w:tc>
          <w:tcPr>
            <w:tcW w:w="1829" w:type="dxa"/>
            <w:tcBorders>
              <w:top w:val="single" w:sz="4" w:space="0" w:color="333333"/>
              <w:left w:val="single" w:sz="4" w:space="0" w:color="333333"/>
              <w:bottom w:val="single" w:sz="4" w:space="0" w:color="333333"/>
              <w:right w:val="single" w:sz="4" w:space="0" w:color="333333"/>
            </w:tcBorders>
          </w:tcPr>
          <w:p w14:paraId="211EF8D3" w14:textId="1C737BCC" w:rsidR="00CC0EB9" w:rsidRPr="00A07821" w:rsidRDefault="00CC0EB9">
            <w:pPr>
              <w:spacing w:line="276" w:lineRule="auto"/>
              <w:rPr>
                <w:rFonts w:ascii="Bookman Old Style" w:eastAsia="Arial" w:hAnsi="Bookman Old Style"/>
                <w:spacing w:val="-2"/>
                <w:lang w:eastAsia="en-US"/>
              </w:rPr>
            </w:pPr>
          </w:p>
        </w:tc>
      </w:tr>
      <w:tr w:rsidR="00CC0EB9" w:rsidRPr="00A07821" w14:paraId="0D70E5ED" w14:textId="77777777" w:rsidTr="00CC0EB9">
        <w:trPr>
          <w:jc w:val="center"/>
        </w:trPr>
        <w:tc>
          <w:tcPr>
            <w:tcW w:w="1219" w:type="dxa"/>
            <w:tcBorders>
              <w:top w:val="single" w:sz="4" w:space="0" w:color="333333"/>
              <w:left w:val="single" w:sz="4" w:space="0" w:color="333333"/>
              <w:bottom w:val="single" w:sz="4" w:space="0" w:color="333333"/>
              <w:right w:val="single" w:sz="4" w:space="0" w:color="333333"/>
            </w:tcBorders>
          </w:tcPr>
          <w:p w14:paraId="771BEA80" w14:textId="76CE3CD1" w:rsidR="00CC0EB9" w:rsidRPr="00A07821" w:rsidRDefault="00A07821">
            <w:pPr>
              <w:spacing w:line="276" w:lineRule="auto"/>
              <w:rPr>
                <w:rFonts w:ascii="Bookman Old Style" w:hAnsi="Bookman Old Style"/>
                <w:lang w:eastAsia="en-US"/>
              </w:rPr>
            </w:pPr>
            <w:r>
              <w:rPr>
                <w:rFonts w:ascii="Bookman Old Style" w:hAnsi="Bookman Old Style"/>
                <w:lang w:eastAsia="en-US"/>
              </w:rPr>
              <w:t>V2</w:t>
            </w:r>
          </w:p>
        </w:tc>
        <w:tc>
          <w:tcPr>
            <w:tcW w:w="1213" w:type="dxa"/>
            <w:tcBorders>
              <w:top w:val="single" w:sz="4" w:space="0" w:color="333333"/>
              <w:left w:val="single" w:sz="4" w:space="0" w:color="333333"/>
              <w:bottom w:val="single" w:sz="4" w:space="0" w:color="333333"/>
              <w:right w:val="single" w:sz="4" w:space="0" w:color="333333"/>
            </w:tcBorders>
          </w:tcPr>
          <w:p w14:paraId="05001AD4" w14:textId="1A6C36EB" w:rsidR="00CC0EB9" w:rsidRPr="00A07821" w:rsidRDefault="00A07821">
            <w:pPr>
              <w:spacing w:line="276" w:lineRule="auto"/>
              <w:rPr>
                <w:rFonts w:ascii="Bookman Old Style" w:hAnsi="Bookman Old Style"/>
                <w:lang w:eastAsia="en-US"/>
              </w:rPr>
            </w:pPr>
            <w:r>
              <w:rPr>
                <w:rFonts w:ascii="Bookman Old Style" w:hAnsi="Bookman Old Style"/>
                <w:lang w:eastAsia="en-US"/>
              </w:rPr>
              <w:t>10/11/2025</w:t>
            </w:r>
          </w:p>
        </w:tc>
        <w:tc>
          <w:tcPr>
            <w:tcW w:w="2428" w:type="dxa"/>
            <w:tcBorders>
              <w:top w:val="single" w:sz="4" w:space="0" w:color="333333"/>
              <w:left w:val="single" w:sz="4" w:space="0" w:color="333333"/>
              <w:bottom w:val="single" w:sz="4" w:space="0" w:color="333333"/>
              <w:right w:val="single" w:sz="4" w:space="0" w:color="333333"/>
            </w:tcBorders>
          </w:tcPr>
          <w:p w14:paraId="7011E0E6" w14:textId="688F5039" w:rsidR="00CC0EB9" w:rsidRPr="00A07821" w:rsidRDefault="00A07821">
            <w:pPr>
              <w:spacing w:line="276" w:lineRule="auto"/>
              <w:rPr>
                <w:rFonts w:ascii="Bookman Old Style" w:hAnsi="Bookman Old Style"/>
                <w:lang w:eastAsia="en-US"/>
              </w:rPr>
            </w:pPr>
            <w:r>
              <w:rPr>
                <w:rFonts w:ascii="Bookman Old Style" w:hAnsi="Bookman Old Style"/>
                <w:lang w:eastAsia="en-US"/>
              </w:rPr>
              <w:t>PE</w:t>
            </w:r>
          </w:p>
        </w:tc>
        <w:tc>
          <w:tcPr>
            <w:tcW w:w="2327" w:type="dxa"/>
            <w:tcBorders>
              <w:top w:val="single" w:sz="4" w:space="0" w:color="333333"/>
              <w:left w:val="single" w:sz="4" w:space="0" w:color="333333"/>
              <w:bottom w:val="single" w:sz="4" w:space="0" w:color="333333"/>
              <w:right w:val="single" w:sz="4" w:space="0" w:color="333333"/>
            </w:tcBorders>
          </w:tcPr>
          <w:p w14:paraId="78EDC5FF" w14:textId="77777777" w:rsidR="00CC0EB9" w:rsidRPr="00A07821" w:rsidRDefault="00CC0EB9">
            <w:pPr>
              <w:spacing w:line="276" w:lineRule="auto"/>
              <w:rPr>
                <w:rFonts w:ascii="Bookman Old Style" w:hAnsi="Bookman Old Style"/>
                <w:lang w:eastAsia="en-US"/>
              </w:rPr>
            </w:pPr>
          </w:p>
        </w:tc>
        <w:tc>
          <w:tcPr>
            <w:tcW w:w="1829" w:type="dxa"/>
            <w:tcBorders>
              <w:top w:val="single" w:sz="4" w:space="0" w:color="333333"/>
              <w:left w:val="single" w:sz="4" w:space="0" w:color="333333"/>
              <w:bottom w:val="single" w:sz="4" w:space="0" w:color="333333"/>
              <w:right w:val="single" w:sz="4" w:space="0" w:color="333333"/>
            </w:tcBorders>
          </w:tcPr>
          <w:p w14:paraId="54D1BDF3" w14:textId="373B1BB5" w:rsidR="00CC0EB9" w:rsidRPr="00A07821" w:rsidRDefault="00A07821">
            <w:pPr>
              <w:spacing w:line="276" w:lineRule="auto"/>
              <w:rPr>
                <w:rFonts w:ascii="Bookman Old Style" w:hAnsi="Bookman Old Style"/>
                <w:lang w:eastAsia="en-US"/>
              </w:rPr>
            </w:pPr>
            <w:r>
              <w:rPr>
                <w:rFonts w:ascii="Bookman Old Style" w:hAnsi="Bookman Old Style"/>
                <w:lang w:eastAsia="en-US"/>
              </w:rPr>
              <w:t>10/06/2027</w:t>
            </w:r>
          </w:p>
        </w:tc>
      </w:tr>
      <w:tr w:rsidR="00CC0EB9" w:rsidRPr="00A07821" w14:paraId="2D536138" w14:textId="77777777" w:rsidTr="00CC0EB9">
        <w:trPr>
          <w:jc w:val="center"/>
        </w:trPr>
        <w:tc>
          <w:tcPr>
            <w:tcW w:w="1219" w:type="dxa"/>
            <w:tcBorders>
              <w:top w:val="single" w:sz="4" w:space="0" w:color="333333"/>
              <w:left w:val="single" w:sz="4" w:space="0" w:color="333333"/>
              <w:bottom w:val="single" w:sz="4" w:space="0" w:color="333333"/>
              <w:right w:val="single" w:sz="4" w:space="0" w:color="333333"/>
            </w:tcBorders>
          </w:tcPr>
          <w:p w14:paraId="3F3175FC" w14:textId="77777777" w:rsidR="00CC0EB9" w:rsidRPr="00A07821" w:rsidRDefault="00CC0EB9">
            <w:pPr>
              <w:spacing w:line="276" w:lineRule="auto"/>
              <w:rPr>
                <w:rFonts w:ascii="Bookman Old Style" w:hAnsi="Bookman Old Style"/>
                <w:lang w:eastAsia="en-US"/>
              </w:rPr>
            </w:pPr>
          </w:p>
        </w:tc>
        <w:tc>
          <w:tcPr>
            <w:tcW w:w="1213" w:type="dxa"/>
            <w:tcBorders>
              <w:top w:val="single" w:sz="4" w:space="0" w:color="333333"/>
              <w:left w:val="single" w:sz="4" w:space="0" w:color="333333"/>
              <w:bottom w:val="single" w:sz="4" w:space="0" w:color="333333"/>
              <w:right w:val="single" w:sz="4" w:space="0" w:color="333333"/>
            </w:tcBorders>
          </w:tcPr>
          <w:p w14:paraId="678829EC" w14:textId="77777777" w:rsidR="00CC0EB9" w:rsidRPr="00A07821" w:rsidRDefault="00CC0EB9">
            <w:pPr>
              <w:spacing w:line="276" w:lineRule="auto"/>
              <w:rPr>
                <w:rFonts w:ascii="Bookman Old Style" w:hAnsi="Bookman Old Style"/>
                <w:lang w:eastAsia="en-US"/>
              </w:rPr>
            </w:pPr>
          </w:p>
        </w:tc>
        <w:tc>
          <w:tcPr>
            <w:tcW w:w="2428" w:type="dxa"/>
            <w:tcBorders>
              <w:top w:val="single" w:sz="4" w:space="0" w:color="333333"/>
              <w:left w:val="single" w:sz="4" w:space="0" w:color="333333"/>
              <w:bottom w:val="single" w:sz="4" w:space="0" w:color="333333"/>
              <w:right w:val="single" w:sz="4" w:space="0" w:color="333333"/>
            </w:tcBorders>
          </w:tcPr>
          <w:p w14:paraId="6DBD39B8" w14:textId="77777777" w:rsidR="00CC0EB9" w:rsidRPr="00A07821" w:rsidRDefault="00CC0EB9">
            <w:pPr>
              <w:spacing w:line="276" w:lineRule="auto"/>
              <w:rPr>
                <w:rFonts w:ascii="Bookman Old Style" w:hAnsi="Bookman Old Style"/>
                <w:lang w:eastAsia="en-US"/>
              </w:rPr>
            </w:pPr>
          </w:p>
        </w:tc>
        <w:tc>
          <w:tcPr>
            <w:tcW w:w="2327" w:type="dxa"/>
            <w:tcBorders>
              <w:top w:val="single" w:sz="4" w:space="0" w:color="333333"/>
              <w:left w:val="single" w:sz="4" w:space="0" w:color="333333"/>
              <w:bottom w:val="single" w:sz="4" w:space="0" w:color="333333"/>
              <w:right w:val="single" w:sz="4" w:space="0" w:color="333333"/>
            </w:tcBorders>
          </w:tcPr>
          <w:p w14:paraId="0F5C32C5" w14:textId="77777777" w:rsidR="00CC0EB9" w:rsidRPr="00A07821" w:rsidRDefault="00CC0EB9">
            <w:pPr>
              <w:spacing w:line="276" w:lineRule="auto"/>
              <w:rPr>
                <w:rFonts w:ascii="Bookman Old Style" w:hAnsi="Bookman Old Style"/>
                <w:lang w:eastAsia="en-US"/>
              </w:rPr>
            </w:pPr>
          </w:p>
        </w:tc>
        <w:tc>
          <w:tcPr>
            <w:tcW w:w="1829" w:type="dxa"/>
            <w:tcBorders>
              <w:top w:val="single" w:sz="4" w:space="0" w:color="333333"/>
              <w:left w:val="single" w:sz="4" w:space="0" w:color="333333"/>
              <w:bottom w:val="single" w:sz="4" w:space="0" w:color="333333"/>
              <w:right w:val="single" w:sz="4" w:space="0" w:color="333333"/>
            </w:tcBorders>
          </w:tcPr>
          <w:p w14:paraId="5F146AD5" w14:textId="77777777" w:rsidR="00CC0EB9" w:rsidRPr="00A07821" w:rsidRDefault="00CC0EB9">
            <w:pPr>
              <w:spacing w:line="276" w:lineRule="auto"/>
              <w:rPr>
                <w:rFonts w:ascii="Bookman Old Style" w:hAnsi="Bookman Old Style"/>
                <w:lang w:eastAsia="en-US"/>
              </w:rPr>
            </w:pPr>
          </w:p>
        </w:tc>
      </w:tr>
      <w:tr w:rsidR="00CC0EB9" w:rsidRPr="00A07821" w14:paraId="380AF250" w14:textId="77777777" w:rsidTr="00CC0EB9">
        <w:trPr>
          <w:jc w:val="center"/>
        </w:trPr>
        <w:tc>
          <w:tcPr>
            <w:tcW w:w="1219" w:type="dxa"/>
            <w:tcBorders>
              <w:top w:val="single" w:sz="4" w:space="0" w:color="333333"/>
              <w:left w:val="single" w:sz="4" w:space="0" w:color="333333"/>
              <w:bottom w:val="single" w:sz="4" w:space="0" w:color="333333"/>
              <w:right w:val="single" w:sz="4" w:space="0" w:color="333333"/>
            </w:tcBorders>
          </w:tcPr>
          <w:p w14:paraId="72C57423" w14:textId="77777777" w:rsidR="00CC0EB9" w:rsidRPr="00A07821" w:rsidRDefault="00CC0EB9">
            <w:pPr>
              <w:spacing w:line="276" w:lineRule="auto"/>
              <w:rPr>
                <w:rFonts w:ascii="Bookman Old Style" w:hAnsi="Bookman Old Style"/>
                <w:lang w:eastAsia="en-US"/>
              </w:rPr>
            </w:pPr>
          </w:p>
        </w:tc>
        <w:tc>
          <w:tcPr>
            <w:tcW w:w="1213" w:type="dxa"/>
            <w:tcBorders>
              <w:top w:val="single" w:sz="4" w:space="0" w:color="333333"/>
              <w:left w:val="single" w:sz="4" w:space="0" w:color="333333"/>
              <w:bottom w:val="single" w:sz="4" w:space="0" w:color="333333"/>
              <w:right w:val="single" w:sz="4" w:space="0" w:color="333333"/>
            </w:tcBorders>
          </w:tcPr>
          <w:p w14:paraId="1C0557E8" w14:textId="77777777" w:rsidR="00CC0EB9" w:rsidRPr="00A07821" w:rsidRDefault="00CC0EB9">
            <w:pPr>
              <w:spacing w:line="276" w:lineRule="auto"/>
              <w:rPr>
                <w:rFonts w:ascii="Bookman Old Style" w:hAnsi="Bookman Old Style"/>
                <w:lang w:eastAsia="en-US"/>
              </w:rPr>
            </w:pPr>
          </w:p>
        </w:tc>
        <w:tc>
          <w:tcPr>
            <w:tcW w:w="2428" w:type="dxa"/>
            <w:tcBorders>
              <w:top w:val="single" w:sz="4" w:space="0" w:color="333333"/>
              <w:left w:val="single" w:sz="4" w:space="0" w:color="333333"/>
              <w:bottom w:val="single" w:sz="4" w:space="0" w:color="333333"/>
              <w:right w:val="single" w:sz="4" w:space="0" w:color="333333"/>
            </w:tcBorders>
          </w:tcPr>
          <w:p w14:paraId="140A160F" w14:textId="77777777" w:rsidR="00CC0EB9" w:rsidRPr="00A07821" w:rsidRDefault="00CC0EB9">
            <w:pPr>
              <w:spacing w:line="276" w:lineRule="auto"/>
              <w:rPr>
                <w:rFonts w:ascii="Bookman Old Style" w:hAnsi="Bookman Old Style"/>
                <w:lang w:eastAsia="en-US"/>
              </w:rPr>
            </w:pPr>
          </w:p>
        </w:tc>
        <w:tc>
          <w:tcPr>
            <w:tcW w:w="2327" w:type="dxa"/>
            <w:tcBorders>
              <w:top w:val="single" w:sz="4" w:space="0" w:color="333333"/>
              <w:left w:val="single" w:sz="4" w:space="0" w:color="333333"/>
              <w:bottom w:val="single" w:sz="4" w:space="0" w:color="333333"/>
              <w:right w:val="single" w:sz="4" w:space="0" w:color="333333"/>
            </w:tcBorders>
          </w:tcPr>
          <w:p w14:paraId="61FCE875" w14:textId="77777777" w:rsidR="00CC0EB9" w:rsidRPr="00A07821" w:rsidRDefault="00CC0EB9">
            <w:pPr>
              <w:spacing w:line="276" w:lineRule="auto"/>
              <w:rPr>
                <w:rFonts w:ascii="Bookman Old Style" w:hAnsi="Bookman Old Style"/>
                <w:lang w:eastAsia="en-US"/>
              </w:rPr>
            </w:pPr>
          </w:p>
        </w:tc>
        <w:tc>
          <w:tcPr>
            <w:tcW w:w="1829" w:type="dxa"/>
            <w:tcBorders>
              <w:top w:val="single" w:sz="4" w:space="0" w:color="333333"/>
              <w:left w:val="single" w:sz="4" w:space="0" w:color="333333"/>
              <w:bottom w:val="single" w:sz="4" w:space="0" w:color="333333"/>
              <w:right w:val="single" w:sz="4" w:space="0" w:color="333333"/>
            </w:tcBorders>
          </w:tcPr>
          <w:p w14:paraId="3E6EB462" w14:textId="77777777" w:rsidR="00CC0EB9" w:rsidRPr="00A07821" w:rsidRDefault="00CC0EB9">
            <w:pPr>
              <w:spacing w:line="276" w:lineRule="auto"/>
              <w:rPr>
                <w:rFonts w:ascii="Bookman Old Style" w:hAnsi="Bookman Old Style"/>
                <w:lang w:eastAsia="en-US"/>
              </w:rPr>
            </w:pPr>
          </w:p>
        </w:tc>
      </w:tr>
    </w:tbl>
    <w:p w14:paraId="620E1211" w14:textId="77777777" w:rsidR="00A07821" w:rsidRPr="00A07821" w:rsidRDefault="00A07821" w:rsidP="00A07821">
      <w:pPr>
        <w:jc w:val="center"/>
        <w:rPr>
          <w:rFonts w:ascii="Bookman Old Style" w:hAnsi="Bookman Old Style"/>
          <w:b/>
          <w:sz w:val="16"/>
          <w:szCs w:val="16"/>
        </w:rPr>
      </w:pPr>
    </w:p>
    <w:p w14:paraId="50D7F0EA" w14:textId="77777777" w:rsidR="00A07821" w:rsidRPr="00A07821" w:rsidRDefault="00A07821" w:rsidP="00A07821">
      <w:pPr>
        <w:pStyle w:val="Heading2"/>
        <w:rPr>
          <w:rFonts w:ascii="Bookman Old Style" w:hAnsi="Bookman Old Style"/>
          <w:b/>
          <w:bCs/>
          <w:sz w:val="28"/>
          <w:szCs w:val="28"/>
        </w:rPr>
      </w:pPr>
      <w:r w:rsidRPr="00A07821">
        <w:rPr>
          <w:rFonts w:ascii="Bookman Old Style" w:hAnsi="Bookman Old Style"/>
          <w:b/>
          <w:bCs/>
          <w:sz w:val="28"/>
          <w:szCs w:val="28"/>
        </w:rPr>
        <w:t xml:space="preserve">Staff </w:t>
      </w:r>
    </w:p>
    <w:p w14:paraId="07421994" w14:textId="77777777" w:rsidR="00A07821" w:rsidRPr="00A07821" w:rsidRDefault="00A07821" w:rsidP="00A07821">
      <w:pPr>
        <w:jc w:val="both"/>
        <w:rPr>
          <w:rFonts w:ascii="Bookman Old Style" w:hAnsi="Bookman Old Style"/>
        </w:rPr>
      </w:pPr>
      <w:r w:rsidRPr="00A07821">
        <w:rPr>
          <w:rFonts w:ascii="Bookman Old Style" w:hAnsi="Bookman Old Style"/>
        </w:rPr>
        <w:t xml:space="preserve">It is widely acknowledged that breastfeeding is the healthiest way for a woman to feed her baby.  </w:t>
      </w:r>
    </w:p>
    <w:p w14:paraId="0DDBEAB5" w14:textId="77777777" w:rsidR="00A07821" w:rsidRPr="00A07821" w:rsidRDefault="00A07821" w:rsidP="00A07821">
      <w:pPr>
        <w:jc w:val="both"/>
        <w:rPr>
          <w:rFonts w:ascii="Bookman Old Style" w:hAnsi="Bookman Old Style"/>
          <w:sz w:val="16"/>
          <w:szCs w:val="16"/>
        </w:rPr>
      </w:pPr>
    </w:p>
    <w:p w14:paraId="48C7CE1C" w14:textId="2B8E1B03" w:rsidR="00A07821" w:rsidRPr="00A07821" w:rsidRDefault="00A07821" w:rsidP="00A07821">
      <w:pPr>
        <w:jc w:val="both"/>
        <w:rPr>
          <w:rFonts w:ascii="Bookman Old Style" w:hAnsi="Bookman Old Style"/>
        </w:rPr>
      </w:pPr>
      <w:r w:rsidRPr="00A07821">
        <w:rPr>
          <w:rFonts w:ascii="Bookman Old Style" w:hAnsi="Bookman Old Style"/>
        </w:rPr>
        <w:t xml:space="preserve">The Practice recognises the benefits of breastfeeding to both mothers and infants and therefore supports staff members to breastfeed their babies, including their return to work after their maternity leave.  </w:t>
      </w:r>
    </w:p>
    <w:p w14:paraId="343AF664" w14:textId="77777777" w:rsidR="00A07821" w:rsidRPr="00A07821" w:rsidRDefault="00A07821" w:rsidP="00A07821">
      <w:pPr>
        <w:jc w:val="both"/>
        <w:rPr>
          <w:rFonts w:ascii="Bookman Old Style" w:hAnsi="Bookman Old Style"/>
          <w:sz w:val="16"/>
          <w:szCs w:val="16"/>
        </w:rPr>
      </w:pPr>
    </w:p>
    <w:p w14:paraId="550B3B96" w14:textId="77777777" w:rsidR="00A07821" w:rsidRPr="00A07821" w:rsidRDefault="00A07821" w:rsidP="00A07821">
      <w:pPr>
        <w:jc w:val="both"/>
        <w:rPr>
          <w:rFonts w:ascii="Bookman Old Style" w:hAnsi="Bookman Old Style"/>
        </w:rPr>
      </w:pPr>
      <w:r w:rsidRPr="00A07821">
        <w:rPr>
          <w:rFonts w:ascii="Bookman Old Style" w:hAnsi="Bookman Old Style"/>
        </w:rPr>
        <w:t>Breastfeeding includes expressing milk and the same rights under this Policy will apply to employees who wish to express milk to give to their baby.</w:t>
      </w:r>
    </w:p>
    <w:p w14:paraId="2AF9BA7E" w14:textId="77777777" w:rsidR="00A07821" w:rsidRPr="00A07821" w:rsidRDefault="00A07821" w:rsidP="00A07821">
      <w:pPr>
        <w:rPr>
          <w:rFonts w:ascii="Bookman Old Style" w:hAnsi="Bookman Old Style"/>
          <w:sz w:val="16"/>
          <w:szCs w:val="16"/>
        </w:rPr>
      </w:pPr>
    </w:p>
    <w:p w14:paraId="497434D0" w14:textId="77777777" w:rsidR="00A07821" w:rsidRPr="00A07821" w:rsidRDefault="00A07821" w:rsidP="00A07821">
      <w:pPr>
        <w:pStyle w:val="Heading2"/>
        <w:rPr>
          <w:rFonts w:ascii="Bookman Old Style" w:hAnsi="Bookman Old Style"/>
          <w:b/>
          <w:bCs/>
          <w:sz w:val="28"/>
          <w:szCs w:val="28"/>
        </w:rPr>
      </w:pPr>
      <w:r w:rsidRPr="00A07821">
        <w:rPr>
          <w:rFonts w:ascii="Bookman Old Style" w:hAnsi="Bookman Old Style"/>
          <w:b/>
          <w:bCs/>
          <w:sz w:val="28"/>
          <w:szCs w:val="28"/>
        </w:rPr>
        <w:t>Policy</w:t>
      </w:r>
    </w:p>
    <w:p w14:paraId="0A1ADC84" w14:textId="77777777" w:rsidR="00A07821" w:rsidRPr="00A07821" w:rsidRDefault="00A07821" w:rsidP="00A07821">
      <w:pPr>
        <w:rPr>
          <w:rFonts w:ascii="Bookman Old Style" w:hAnsi="Bookman Old Style"/>
        </w:rPr>
      </w:pPr>
      <w:r w:rsidRPr="00A07821">
        <w:rPr>
          <w:rFonts w:ascii="Bookman Old Style" w:hAnsi="Bookman Old Style"/>
        </w:rPr>
        <w:t xml:space="preserve">The Practice will </w:t>
      </w:r>
      <w:proofErr w:type="gramStart"/>
      <w:r w:rsidRPr="00A07821">
        <w:rPr>
          <w:rFonts w:ascii="Bookman Old Style" w:hAnsi="Bookman Old Style"/>
        </w:rPr>
        <w:t>therefore:-</w:t>
      </w:r>
      <w:proofErr w:type="gramEnd"/>
    </w:p>
    <w:p w14:paraId="438A7C55" w14:textId="77777777" w:rsidR="00A07821" w:rsidRPr="00A07821" w:rsidRDefault="00A07821" w:rsidP="006F39FA">
      <w:pPr>
        <w:numPr>
          <w:ilvl w:val="0"/>
          <w:numId w:val="1"/>
        </w:numPr>
        <w:ind w:hanging="502"/>
        <w:jc w:val="both"/>
        <w:rPr>
          <w:rFonts w:ascii="Bookman Old Style" w:hAnsi="Bookman Old Style"/>
        </w:rPr>
      </w:pPr>
      <w:r w:rsidRPr="00A07821">
        <w:rPr>
          <w:rFonts w:ascii="Bookman Old Style" w:hAnsi="Bookman Old Style"/>
        </w:rPr>
        <w:t>Inform all employees of the rights provided under this Policy as part of the Equal Opportunities Policy.</w:t>
      </w:r>
    </w:p>
    <w:p w14:paraId="32D0B48D" w14:textId="77777777" w:rsidR="00A07821" w:rsidRPr="00A07821" w:rsidRDefault="00A07821" w:rsidP="006F39FA">
      <w:pPr>
        <w:numPr>
          <w:ilvl w:val="0"/>
          <w:numId w:val="1"/>
        </w:numPr>
        <w:ind w:hanging="502"/>
        <w:jc w:val="both"/>
        <w:rPr>
          <w:rFonts w:ascii="Bookman Old Style" w:hAnsi="Bookman Old Style"/>
        </w:rPr>
      </w:pPr>
      <w:r w:rsidRPr="00A07821">
        <w:rPr>
          <w:rFonts w:ascii="Bookman Old Style" w:hAnsi="Bookman Old Style"/>
        </w:rPr>
        <w:t>Perform a risk assessment in relation to all employees who plan to continue breastfeeding after their maternity leave.</w:t>
      </w:r>
    </w:p>
    <w:p w14:paraId="0BAB5FBD" w14:textId="77777777" w:rsidR="00A07821" w:rsidRPr="00A07821" w:rsidRDefault="00A07821" w:rsidP="006F39FA">
      <w:pPr>
        <w:numPr>
          <w:ilvl w:val="0"/>
          <w:numId w:val="1"/>
        </w:numPr>
        <w:ind w:hanging="502"/>
        <w:jc w:val="both"/>
        <w:rPr>
          <w:rFonts w:ascii="Bookman Old Style" w:hAnsi="Bookman Old Style"/>
        </w:rPr>
      </w:pPr>
      <w:r w:rsidRPr="00A07821">
        <w:rPr>
          <w:rFonts w:ascii="Bookman Old Style" w:hAnsi="Bookman Old Style"/>
        </w:rPr>
        <w:t>Nominate the Practice Manager who will be responsible for performing the risk assessment and who should be given written notice of the employee’s intention to continue breastfeeding or expressing milk on her return to work after their maternity leave.</w:t>
      </w:r>
    </w:p>
    <w:p w14:paraId="48849952" w14:textId="77777777" w:rsidR="00A07821" w:rsidRPr="00A07821" w:rsidRDefault="00A07821" w:rsidP="006F39FA">
      <w:pPr>
        <w:numPr>
          <w:ilvl w:val="0"/>
          <w:numId w:val="1"/>
        </w:numPr>
        <w:ind w:hanging="502"/>
        <w:jc w:val="both"/>
        <w:rPr>
          <w:rFonts w:ascii="Bookman Old Style" w:hAnsi="Bookman Old Style"/>
        </w:rPr>
      </w:pPr>
      <w:r w:rsidRPr="00A07821">
        <w:rPr>
          <w:rFonts w:ascii="Bookman Old Style" w:hAnsi="Bookman Old Style"/>
        </w:rPr>
        <w:t>Make available a private, comfortable and appropriately equipped room for breastfeeding employees to feed their baby or express their milk.</w:t>
      </w:r>
    </w:p>
    <w:p w14:paraId="21FAB974" w14:textId="77777777" w:rsidR="00A07821" w:rsidRPr="00A07821" w:rsidRDefault="00A07821" w:rsidP="00A07821">
      <w:pPr>
        <w:rPr>
          <w:rFonts w:ascii="Bookman Old Style" w:hAnsi="Bookman Old Style"/>
          <w:sz w:val="16"/>
          <w:szCs w:val="16"/>
        </w:rPr>
      </w:pPr>
    </w:p>
    <w:p w14:paraId="2AA968BD" w14:textId="77777777" w:rsidR="00A07821" w:rsidRPr="00A07821" w:rsidRDefault="00A07821" w:rsidP="00A07821">
      <w:pPr>
        <w:pStyle w:val="Heading2"/>
        <w:rPr>
          <w:rFonts w:ascii="Bookman Old Style" w:hAnsi="Bookman Old Style"/>
          <w:b/>
          <w:bCs/>
          <w:sz w:val="28"/>
          <w:szCs w:val="28"/>
        </w:rPr>
      </w:pPr>
      <w:r w:rsidRPr="00A07821">
        <w:rPr>
          <w:rFonts w:ascii="Bookman Old Style" w:hAnsi="Bookman Old Style"/>
          <w:b/>
          <w:bCs/>
          <w:sz w:val="28"/>
          <w:szCs w:val="28"/>
        </w:rPr>
        <w:t>Visitors / Patients</w:t>
      </w:r>
    </w:p>
    <w:p w14:paraId="4023ED15" w14:textId="77777777" w:rsidR="00A07821" w:rsidRPr="00A07821" w:rsidRDefault="00A07821" w:rsidP="00A07821">
      <w:pPr>
        <w:rPr>
          <w:rFonts w:ascii="Bookman Old Style" w:hAnsi="Bookman Old Style"/>
        </w:rPr>
      </w:pPr>
      <w:r w:rsidRPr="00A07821">
        <w:rPr>
          <w:rFonts w:ascii="Bookman Old Style" w:hAnsi="Bookman Old Style"/>
        </w:rPr>
        <w:t xml:space="preserve">The Practice will not discriminate against any woman in her chosen method of infant feeding and will fully support the visitor/patient.  </w:t>
      </w:r>
    </w:p>
    <w:p w14:paraId="3D4B10FA" w14:textId="77777777" w:rsidR="00A07821" w:rsidRPr="00A07821" w:rsidRDefault="00A07821" w:rsidP="00A07821">
      <w:pPr>
        <w:numPr>
          <w:ilvl w:val="0"/>
          <w:numId w:val="2"/>
        </w:numPr>
        <w:jc w:val="both"/>
        <w:rPr>
          <w:rFonts w:ascii="Bookman Old Style" w:hAnsi="Bookman Old Style"/>
        </w:rPr>
      </w:pPr>
      <w:r w:rsidRPr="00A07821">
        <w:rPr>
          <w:rFonts w:ascii="Bookman Old Style" w:hAnsi="Bookman Old Style"/>
        </w:rPr>
        <w:t>All mothers will be enabled and supported to feed their infants in the Practice premises.</w:t>
      </w:r>
    </w:p>
    <w:p w14:paraId="5AA12D14" w14:textId="30016B17" w:rsidR="00A07821" w:rsidRPr="00A07821" w:rsidRDefault="00A07821" w:rsidP="008349E0">
      <w:pPr>
        <w:numPr>
          <w:ilvl w:val="0"/>
          <w:numId w:val="2"/>
        </w:numPr>
        <w:jc w:val="both"/>
        <w:rPr>
          <w:rFonts w:ascii="Bookman Old Style" w:hAnsi="Bookman Old Style"/>
        </w:rPr>
      </w:pPr>
      <w:r w:rsidRPr="00A07821">
        <w:rPr>
          <w:rFonts w:ascii="Bookman Old Style" w:hAnsi="Bookman Old Style"/>
        </w:rPr>
        <w:t>The Practice will ensure that its staff members make comfortable arrangements for mothers who would prefer privacy to breastfeed.</w:t>
      </w:r>
    </w:p>
    <w:sectPr w:rsidR="00A07821" w:rsidRPr="00A078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B3FB1"/>
    <w:multiLevelType w:val="multilevel"/>
    <w:tmpl w:val="770EB722"/>
    <w:styleLink w:val="Bullet01"/>
    <w:lvl w:ilvl="0">
      <w:start w:val="1"/>
      <w:numFmt w:val="bullet"/>
      <w:lvlText w:val=""/>
      <w:lvlJc w:val="left"/>
      <w:pPr>
        <w:tabs>
          <w:tab w:val="num" w:pos="360"/>
        </w:tabs>
        <w:ind w:left="360" w:hanging="360"/>
      </w:pPr>
      <w:rPr>
        <w:rFonts w:ascii="Symbol" w:hAnsi="Symbol"/>
        <w:color w:val="000000"/>
        <w:spacing w:val="-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C15E28"/>
    <w:multiLevelType w:val="multilevel"/>
    <w:tmpl w:val="770EB722"/>
    <w:numStyleLink w:val="Bullet01"/>
  </w:abstractNum>
  <w:num w:numId="1" w16cid:durableId="1857696757">
    <w:abstractNumId w:val="0"/>
  </w:num>
  <w:num w:numId="2" w16cid:durableId="816651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0F"/>
    <w:rsid w:val="001C230F"/>
    <w:rsid w:val="0023596C"/>
    <w:rsid w:val="00322A68"/>
    <w:rsid w:val="00436597"/>
    <w:rsid w:val="00623C56"/>
    <w:rsid w:val="006F39FA"/>
    <w:rsid w:val="009B239A"/>
    <w:rsid w:val="00A07821"/>
    <w:rsid w:val="00CC0EB9"/>
    <w:rsid w:val="00F02571"/>
    <w:rsid w:val="00F02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4B36E"/>
  <w15:chartTrackingRefBased/>
  <w15:docId w15:val="{47EEECBA-9A29-4E76-A354-3645D0D3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30F"/>
    <w:pPr>
      <w:spacing w:after="0" w:line="240" w:lineRule="auto"/>
    </w:pPr>
    <w:rPr>
      <w:rFonts w:ascii="Arial" w:eastAsia="Times New Roman" w:hAnsi="Arial" w:cs="Arial"/>
      <w:sz w:val="24"/>
      <w:szCs w:val="24"/>
      <w:lang w:eastAsia="en-GB"/>
    </w:rPr>
  </w:style>
  <w:style w:type="paragraph" w:styleId="Heading1">
    <w:name w:val="heading 1"/>
    <w:basedOn w:val="Normal"/>
    <w:next w:val="Normal"/>
    <w:link w:val="Heading1Char"/>
    <w:qFormat/>
    <w:rsid w:val="00A07821"/>
    <w:pPr>
      <w:jc w:val="center"/>
      <w:outlineLvl w:val="0"/>
    </w:pPr>
    <w:rPr>
      <w:rFonts w:ascii="Calibri" w:eastAsia="Arial" w:hAnsi="Calibri"/>
      <w:b/>
      <w:color w:val="000000"/>
      <w:spacing w:val="-2"/>
      <w:sz w:val="32"/>
      <w:szCs w:val="32"/>
      <w:lang w:eastAsia="en-US"/>
    </w:rPr>
  </w:style>
  <w:style w:type="paragraph" w:styleId="Heading2">
    <w:name w:val="heading 2"/>
    <w:basedOn w:val="Normal"/>
    <w:next w:val="Normal"/>
    <w:link w:val="Heading2Char"/>
    <w:uiPriority w:val="9"/>
    <w:semiHidden/>
    <w:unhideWhenUsed/>
    <w:qFormat/>
    <w:rsid w:val="00A0782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0782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7821"/>
    <w:rPr>
      <w:rFonts w:ascii="Calibri" w:eastAsia="Arial" w:hAnsi="Calibri" w:cs="Arial"/>
      <w:b/>
      <w:color w:val="000000"/>
      <w:spacing w:val="-2"/>
      <w:sz w:val="32"/>
      <w:szCs w:val="32"/>
    </w:rPr>
  </w:style>
  <w:style w:type="character" w:customStyle="1" w:styleId="Heading2Char">
    <w:name w:val="Heading 2 Char"/>
    <w:basedOn w:val="DefaultParagraphFont"/>
    <w:link w:val="Heading2"/>
    <w:uiPriority w:val="9"/>
    <w:semiHidden/>
    <w:rsid w:val="00A07821"/>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A07821"/>
    <w:rPr>
      <w:rFonts w:asciiTheme="majorHAnsi" w:eastAsiaTheme="majorEastAsia" w:hAnsiTheme="majorHAnsi" w:cstheme="majorBidi"/>
      <w:color w:val="1F3763" w:themeColor="accent1" w:themeShade="7F"/>
      <w:sz w:val="24"/>
      <w:szCs w:val="24"/>
      <w:lang w:eastAsia="en-GB"/>
    </w:rPr>
  </w:style>
  <w:style w:type="numbering" w:customStyle="1" w:styleId="Bullet01">
    <w:name w:val="Bullet_01"/>
    <w:rsid w:val="00A0782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9928">
      <w:bodyDiv w:val="1"/>
      <w:marLeft w:val="0"/>
      <w:marRight w:val="0"/>
      <w:marTop w:val="0"/>
      <w:marBottom w:val="0"/>
      <w:divBdr>
        <w:top w:val="none" w:sz="0" w:space="0" w:color="auto"/>
        <w:left w:val="none" w:sz="0" w:space="0" w:color="auto"/>
        <w:bottom w:val="none" w:sz="0" w:space="0" w:color="auto"/>
        <w:right w:val="none" w:sz="0" w:space="0" w:color="auto"/>
      </w:divBdr>
    </w:div>
    <w:div w:id="61197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1396</Characters>
  <Application>Microsoft Office Word</Application>
  <DocSecurity>0</DocSecurity>
  <Lines>116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Joanne (THE BRIMINGTON SURGERY)</dc:creator>
  <cp:keywords/>
  <dc:description/>
  <cp:lastModifiedBy>ELLIOTT, Paula (THE BRIMINGTON SURGERY)</cp:lastModifiedBy>
  <cp:revision>4</cp:revision>
  <dcterms:created xsi:type="dcterms:W3CDTF">2025-11-10T16:36:00Z</dcterms:created>
  <dcterms:modified xsi:type="dcterms:W3CDTF">2025-11-10T16:41:00Z</dcterms:modified>
</cp:coreProperties>
</file>